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armata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paradoxa</w:t>
      </w:r>
      <w:proofErr w:type="spellEnd"/>
      <w:r>
        <w:t xml:space="preserve"> (DC.) Ser.</w:t>
      </w:r>
      <w:r w:rsidR="00780DEE" w:rsidRPr="00780DEE">
        <w:rPr>
          <w:i/>
        </w:rPr>
        <w:t xml:space="preserve"> Fl. Jard.</w:t>
      </w:r>
      <w:proofErr w:type="spellStart"/>
      <w:r w:rsidR="00780DEE">
        <w:t xml:space="preserve"> 3:477</w:t>
      </w:r>
      <w:proofErr w:type="spellEnd"/>
      <w:r w:rsidR="00780DEE">
        <w:t xml:space="preserve"> (1849)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593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paradoxa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(Acacia armata var. angustifolia Benth. cited in synonymy).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paradoxa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