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(Benth.) J.M.Black</w:t>
      </w:r>
      <w:r w:rsidR="00780DEE" w:rsidRPr="00780DEE">
        <w:rPr>
          <w:i/>
        </w:rPr>
        <w:t xml:space="preserve"> Fl. S. Australia</w:t>
      </w:r>
      <w:proofErr w:type="spellStart"/>
      <w:r w:rsidR="00780DEE">
        <w:t xml:space="preserve"> 2:277</w:t>
      </w:r>
      <w:proofErr w:type="spellEnd"/>
      <w:r w:rsidR="00780DEE">
        <w:t xml:space="preserve"> (1924)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'rhetinodes'.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pycnantha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