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dodonaeifolia</w:t>
      </w:r>
      <w:r>
        <w:t xml:space="preserve"> (Pers.)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2:450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601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(Pers.) Balb. (1813).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dodonaeifolia</w:t>
      </w:r>
      <w:r>
        <w:t xml:space="preserve"> Pers.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