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brevifolia</w:t>
      </w:r>
      <w:r>
        <w:t xml:space="preserve"> G.Lodd.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2:406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'Native of New South Wales'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