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Maiden &amp; Betche</w:t>
      </w:r>
      <w:r w:rsidR="00780DEE" w:rsidRPr="00780DEE">
        <w:rPr>
          <w:i/>
        </w:rPr>
        <w:t xml:space="preserve"> Census New South Wales Pl.</w:t>
      </w:r>
      <w:proofErr w:type="spellStart"/>
      <w:r w:rsidR="00780DEE">
        <w:t xml:space="preserve"> :90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(Maiden &amp; Betche)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M.D. Tindale, Contr. New South Wales Natl Herb. 4: 75, 1968): Wentworth Falls, N.S.W., Jan. 1907, W.F orsyth (NSW). Remaining syntype: Wentworth Falls, N.S.W., Apr. 1906, W. Forsyth (NSW)</w:t>
      </w:r>
      <w:proofErr w:type="spellEnd"/>
      <w:r w:rsidRPr="009A6983">
        <w:rPr>
          <w:b/>
        </w:rPr>
        <w:t xml:space="preserve"> Source:</w:t>
      </w:r>
      <w:r>
        <w:t xml:space="preserve"> Fl. Australia 11A: 342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