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cedilloi</w:t>
      </w:r>
      <w:r>
        <w:t xml:space="preserve"> L.Rico</w:t>
      </w:r>
      <w:r w:rsidR="00780DEE" w:rsidRPr="00780DEE">
        <w:rPr>
          <w:i/>
        </w:rPr>
        <w:t xml:space="preserve"> Acta Bot. Mex.</w:t>
      </w:r>
      <w:proofErr w:type="spellStart"/>
      <w:r w:rsidR="00780DEE">
        <w:t xml:space="preserve"> 26:7</w:t>
      </w:r>
      <w:proofErr w:type="spellEnd"/>
      <w:r w:rsidR="00780DEE">
        <w:t xml:space="preserve"> (1994)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cedilloi</w:t>
      </w:r>
      <w:proofErr w:type="spellEnd"/>
      <w:r>
        <w:t xml:space="preserve"> (L.Rico)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Quintana Roo. km 6.5 de la carretera Vigia Chico-F. Carrillo Puerto, selva mediana subperennifolia, alt. 8 m, 9 Apr. 1986, R. Villanueva 714 (MEXU); isotypes: CIQRO, XAL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cedilloi is probably a hybrid of Vachellia (Acacia) cornigera and V. globulifera [Rico Arce 2007].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