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borealis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lateriticola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Serpentine, W.A., 21 June 1901, L. Diels 3159 (PERTH,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410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