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heterophylla</w:t>
      </w:r>
      <w:r>
        <w:t xml:space="preserve"> (Lam.)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koa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mangiiformis</w:t>
      </w:r>
      <w:r>
        <w:t xml:space="preserve"> Maslin &amp; L.A.J.Thomson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mathuataensis</w:t>
      </w:r>
      <w:r>
        <w:t xml:space="preserve"> A.C.Sm.</w:t>
      </w:r>
      <w:r>
        <w:t xml:space="preserve"> (1950)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peregrinalis</w:t>
      </w:r>
      <w:r>
        <w:t xml:space="preserve"> M.W.McDonald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richii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simplex</w:t>
      </w:r>
      <w:r>
        <w:t xml:space="preserve"> (Sparrm.)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spirorbis</w:t>
      </w:r>
      <w:r>
        <w:t xml:space="preserve"> Labill.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wetarensis</w:t>
      </w:r>
      <w:r>
        <w:t xml:space="preserve">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